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0284" w14:textId="7B91053D" w:rsidR="001C34C5" w:rsidRPr="004F55E2" w:rsidRDefault="00076026" w:rsidP="001C34C5">
      <w:pPr>
        <w:pStyle w:val="MTMainTitle"/>
        <w:rPr>
          <w:lang w:val="en-GB"/>
        </w:rPr>
      </w:pPr>
      <w:r w:rsidRPr="004F55E2">
        <w:rPr>
          <w:lang w:val="en-GB"/>
        </w:rPr>
        <w:t xml:space="preserve">Concept </w:t>
      </w:r>
      <w:r w:rsidR="00CD509D" w:rsidRPr="004F55E2">
        <w:rPr>
          <w:lang w:val="en-GB"/>
        </w:rPr>
        <w:t>c</w:t>
      </w:r>
      <w:r w:rsidRPr="004F55E2">
        <w:rPr>
          <w:lang w:val="en-GB"/>
        </w:rPr>
        <w:t>ommentaries</w:t>
      </w:r>
      <w:r w:rsidR="009E0DCD" w:rsidRPr="004F55E2">
        <w:rPr>
          <w:lang w:val="en-GB"/>
        </w:rPr>
        <w:t xml:space="preserve"> </w:t>
      </w:r>
      <w:r w:rsidR="009E0DCD" w:rsidRPr="004F55E2">
        <w:rPr>
          <w:rFonts w:cs="Arial"/>
          <w:lang w:val="en-GB"/>
        </w:rPr>
        <w:t>–</w:t>
      </w:r>
      <w:r w:rsidR="009E0DCD" w:rsidRPr="004F55E2">
        <w:rPr>
          <w:lang w:val="en-GB"/>
        </w:rPr>
        <w:t xml:space="preserve"> </w:t>
      </w:r>
      <w:r w:rsidR="008D11B3" w:rsidRPr="004F55E2">
        <w:rPr>
          <w:lang w:val="en-GB"/>
        </w:rPr>
        <w:t>H</w:t>
      </w:r>
      <w:r w:rsidR="009E0DCD" w:rsidRPr="004F55E2">
        <w:rPr>
          <w:lang w:val="en-GB"/>
        </w:rPr>
        <w:t>L</w:t>
      </w:r>
    </w:p>
    <w:p w14:paraId="3F40BEEA" w14:textId="77777777" w:rsidR="00177B15" w:rsidRPr="004F55E2" w:rsidRDefault="00177B15" w:rsidP="00177B15">
      <w:pPr>
        <w:pStyle w:val="BTBodyText"/>
        <w:spacing w:before="0"/>
        <w:rPr>
          <w:lang w:val="en-GB"/>
        </w:rPr>
      </w:pPr>
      <w:r w:rsidRPr="004F55E2">
        <w:rPr>
          <w:lang w:val="en-GB"/>
        </w:rPr>
        <w:t>Opportunities to consider and discuss the key concepts underpinning the syllabus are signposted</w:t>
      </w:r>
    </w:p>
    <w:p w14:paraId="31E8EA8E" w14:textId="77777777" w:rsidR="00177B15" w:rsidRPr="004F55E2" w:rsidRDefault="00177B15" w:rsidP="00177B15">
      <w:pPr>
        <w:pStyle w:val="BTBodyText"/>
        <w:spacing w:before="0"/>
        <w:rPr>
          <w:lang w:val="en-GB"/>
        </w:rPr>
      </w:pPr>
      <w:r w:rsidRPr="004F55E2">
        <w:rPr>
          <w:lang w:val="en-GB"/>
        </w:rPr>
        <w:t>throughout the Hodder Education Student Books for Mathematics for the IB Diploma. This</w:t>
      </w:r>
    </w:p>
    <w:p w14:paraId="4F7B115E" w14:textId="77777777" w:rsidR="00177B15" w:rsidRPr="004F55E2" w:rsidRDefault="00177B15" w:rsidP="00177B15">
      <w:pPr>
        <w:pStyle w:val="BTBodyText"/>
        <w:spacing w:before="0"/>
        <w:rPr>
          <w:lang w:val="en-GB"/>
        </w:rPr>
      </w:pPr>
      <w:r w:rsidRPr="004F55E2">
        <w:rPr>
          <w:lang w:val="en-GB"/>
        </w:rPr>
        <w:t>document contains some further ideas about how teachers can draw out and elaborate on these</w:t>
      </w:r>
    </w:p>
    <w:p w14:paraId="3F561D70" w14:textId="77777777" w:rsidR="00177B15" w:rsidRPr="004F55E2" w:rsidRDefault="00177B15" w:rsidP="00177B15">
      <w:pPr>
        <w:pStyle w:val="BTBodyText"/>
        <w:spacing w:before="0"/>
        <w:rPr>
          <w:lang w:val="en-GB"/>
        </w:rPr>
      </w:pPr>
      <w:r w:rsidRPr="004F55E2">
        <w:rPr>
          <w:lang w:val="en-GB"/>
        </w:rPr>
        <w:t>concepts, thereby fostering deeper understanding. It also contains suggestions about how the</w:t>
      </w:r>
    </w:p>
    <w:p w14:paraId="65B426CE" w14:textId="77777777" w:rsidR="00177B15" w:rsidRPr="004F55E2" w:rsidRDefault="00177B15" w:rsidP="00177B15">
      <w:pPr>
        <w:pStyle w:val="BTBodyText"/>
        <w:spacing w:before="0"/>
        <w:rPr>
          <w:lang w:val="en-GB"/>
        </w:rPr>
      </w:pPr>
      <w:r w:rsidRPr="004F55E2">
        <w:rPr>
          <w:lang w:val="en-GB"/>
        </w:rPr>
        <w:t>Teaching and Learning Resources can be used to complement the content outlined in the</w:t>
      </w:r>
    </w:p>
    <w:p w14:paraId="59E3C9D1" w14:textId="4B4193DD" w:rsidR="00177B15" w:rsidRPr="004F55E2" w:rsidRDefault="00177B15" w:rsidP="00177B15">
      <w:pPr>
        <w:pStyle w:val="BTBodyText"/>
        <w:spacing w:before="0"/>
        <w:rPr>
          <w:lang w:val="en-GB"/>
        </w:rPr>
      </w:pPr>
      <w:r w:rsidRPr="004F55E2">
        <w:rPr>
          <w:lang w:val="en-GB"/>
        </w:rPr>
        <w:t>Student Books.</w:t>
      </w:r>
    </w:p>
    <w:p w14:paraId="02654E68" w14:textId="5B79F631" w:rsidR="00076026" w:rsidRPr="004F55E2" w:rsidRDefault="008D11B3" w:rsidP="00076026">
      <w:pPr>
        <w:pStyle w:val="AHead"/>
        <w:rPr>
          <w:bCs/>
          <w:lang w:val="en-GB"/>
        </w:rPr>
      </w:pPr>
      <w:r w:rsidRPr="004F55E2">
        <w:rPr>
          <w:bCs/>
          <w:lang w:val="en-GB"/>
        </w:rPr>
        <w:t xml:space="preserve">1 Counting </w:t>
      </w:r>
      <w:r w:rsidR="004F55E2" w:rsidRPr="004F55E2">
        <w:rPr>
          <w:bCs/>
          <w:lang w:val="en-GB"/>
        </w:rPr>
        <w:t>p</w:t>
      </w:r>
      <w:r w:rsidRPr="004F55E2">
        <w:rPr>
          <w:bCs/>
          <w:lang w:val="en-GB"/>
        </w:rPr>
        <w:t>rinciples</w:t>
      </w:r>
      <w:r w:rsidR="006550B7" w:rsidRPr="004F55E2">
        <w:rPr>
          <w:bCs/>
          <w:lang w:val="en-GB"/>
        </w:rPr>
        <w:br/>
      </w:r>
      <w:r w:rsidRPr="004F55E2">
        <w:rPr>
          <w:bCs/>
          <w:lang w:val="en-GB"/>
        </w:rPr>
        <w:t>2 Algebra</w:t>
      </w:r>
    </w:p>
    <w:p w14:paraId="037D9EE3" w14:textId="4B4754AC" w:rsidR="00076026" w:rsidRPr="004F55E2" w:rsidRDefault="006550B7" w:rsidP="00076026">
      <w:pPr>
        <w:pStyle w:val="BHead"/>
        <w:rPr>
          <w:lang w:val="en-GB"/>
        </w:rPr>
      </w:pPr>
      <w:r w:rsidRPr="004F55E2">
        <w:rPr>
          <w:lang w:val="en-GB"/>
        </w:rPr>
        <w:t>Concept focus: Generalization, Patterns</w:t>
      </w:r>
    </w:p>
    <w:p w14:paraId="31F2918E" w14:textId="62331378" w:rsidR="006550B7" w:rsidRPr="004F55E2" w:rsidRDefault="006550B7" w:rsidP="006550B7">
      <w:pPr>
        <w:pStyle w:val="BTBodyText"/>
        <w:rPr>
          <w:lang w:val="en-GB"/>
        </w:rPr>
      </w:pPr>
      <w:r w:rsidRPr="004F55E2">
        <w:rPr>
          <w:lang w:val="en-GB"/>
        </w:rPr>
        <w:t xml:space="preserve">The concepts of generalization and patterns can be brought together through the </w:t>
      </w:r>
      <w:r w:rsidRPr="002414F9">
        <w:rPr>
          <w:lang w:val="en-GB"/>
        </w:rPr>
        <w:t>Pascal’s triangle task</w:t>
      </w:r>
      <w:r w:rsidRPr="004F55E2">
        <w:rPr>
          <w:lang w:val="en-GB"/>
        </w:rPr>
        <w:t xml:space="preserve"> in the </w:t>
      </w:r>
      <w:r w:rsidR="002414F9" w:rsidRPr="002414F9">
        <w:rPr>
          <w:b/>
          <w:bCs/>
          <w:lang w:val="en-GB"/>
        </w:rPr>
        <w:t>T</w:t>
      </w:r>
      <w:r w:rsidRPr="004F55E2">
        <w:rPr>
          <w:b/>
          <w:bCs/>
          <w:lang w:val="en-GB"/>
        </w:rPr>
        <w:t>eaching and learning resource</w:t>
      </w:r>
      <w:r w:rsidR="00296B89">
        <w:rPr>
          <w:b/>
          <w:bCs/>
          <w:lang w:val="en-GB"/>
        </w:rPr>
        <w:t>s</w:t>
      </w:r>
      <w:r w:rsidRPr="004F55E2">
        <w:rPr>
          <w:lang w:val="en-GB"/>
        </w:rPr>
        <w:t>.</w:t>
      </w:r>
    </w:p>
    <w:p w14:paraId="4DBADBF1" w14:textId="41C6D219" w:rsidR="00076026" w:rsidRPr="004F55E2" w:rsidRDefault="006550B7" w:rsidP="006550B7">
      <w:pPr>
        <w:pStyle w:val="BTBodyText"/>
        <w:rPr>
          <w:lang w:val="en-GB"/>
        </w:rPr>
      </w:pPr>
      <w:r w:rsidRPr="004F55E2">
        <w:rPr>
          <w:lang w:val="en-GB"/>
        </w:rPr>
        <w:t>The task would serve as an excellent introduction to the HL course as it encourages mathematical discovery and pattern spotting. The focus of the task can be the value of the coefficients and how these are represented using combinations, this can then be linked to binomial expansions. It offers a thorough review of students’ ability to manipulate algebra.</w:t>
      </w:r>
    </w:p>
    <w:p w14:paraId="22366D85" w14:textId="7F7CF93E" w:rsidR="00076026" w:rsidRPr="004F55E2" w:rsidRDefault="006550B7" w:rsidP="00076026">
      <w:pPr>
        <w:pStyle w:val="AHead"/>
        <w:rPr>
          <w:color w:val="auto"/>
          <w:lang w:val="en-GB"/>
        </w:rPr>
      </w:pPr>
      <w:r w:rsidRPr="004F55E2">
        <w:rPr>
          <w:lang w:val="en-GB"/>
        </w:rPr>
        <w:t>3 Trigonometry</w:t>
      </w:r>
    </w:p>
    <w:p w14:paraId="1D143925" w14:textId="2DDB3501" w:rsidR="00076026" w:rsidRPr="004F55E2" w:rsidRDefault="006550B7" w:rsidP="00076026">
      <w:pPr>
        <w:pStyle w:val="BHead"/>
        <w:rPr>
          <w:lang w:val="en-GB"/>
        </w:rPr>
      </w:pPr>
      <w:r w:rsidRPr="004F55E2">
        <w:rPr>
          <w:lang w:val="en-GB"/>
        </w:rPr>
        <w:t>Concept focus: Equivalence, Quantity</w:t>
      </w:r>
    </w:p>
    <w:p w14:paraId="4F3FB8C9" w14:textId="217D3BB5" w:rsidR="006550B7" w:rsidRPr="004F55E2" w:rsidRDefault="006550B7" w:rsidP="00076026">
      <w:pPr>
        <w:pStyle w:val="AHead"/>
        <w:rPr>
          <w:rFonts w:ascii="Times New Roman" w:eastAsia="Calibri" w:hAnsi="Times New Roman"/>
          <w:b w:val="0"/>
          <w:color w:val="auto"/>
          <w:sz w:val="22"/>
          <w:lang w:val="en-GB"/>
        </w:rPr>
      </w:pPr>
      <w:r w:rsidRPr="004F55E2">
        <w:rPr>
          <w:rFonts w:ascii="Times New Roman" w:eastAsia="Calibri" w:hAnsi="Times New Roman"/>
          <w:b w:val="0"/>
          <w:color w:val="auto"/>
          <w:sz w:val="22"/>
          <w:lang w:val="en-GB"/>
        </w:rPr>
        <w:t xml:space="preserve">As an introduction to this chapter students should be shown the ‘Do you speak Babylonian?’ PowerPoint in the </w:t>
      </w:r>
      <w:r w:rsidR="002414F9">
        <w:rPr>
          <w:rFonts w:ascii="Times New Roman" w:eastAsia="Calibri" w:hAnsi="Times New Roman"/>
          <w:bCs/>
          <w:color w:val="auto"/>
          <w:sz w:val="22"/>
          <w:lang w:val="en-GB"/>
        </w:rPr>
        <w:t>T</w:t>
      </w:r>
      <w:r w:rsidRPr="004F55E2">
        <w:rPr>
          <w:rFonts w:ascii="Times New Roman" w:eastAsia="Calibri" w:hAnsi="Times New Roman"/>
          <w:bCs/>
          <w:color w:val="auto"/>
          <w:sz w:val="22"/>
          <w:lang w:val="en-GB"/>
        </w:rPr>
        <w:t xml:space="preserve">eaching and learning </w:t>
      </w:r>
      <w:r w:rsidR="00296B89">
        <w:rPr>
          <w:rFonts w:ascii="Times New Roman" w:eastAsia="Calibri" w:hAnsi="Times New Roman"/>
          <w:bCs/>
          <w:color w:val="auto"/>
          <w:sz w:val="22"/>
          <w:lang w:val="en-GB"/>
        </w:rPr>
        <w:t>resources</w:t>
      </w:r>
      <w:r w:rsidRPr="004F55E2">
        <w:rPr>
          <w:rFonts w:ascii="Times New Roman" w:eastAsia="Calibri" w:hAnsi="Times New Roman"/>
          <w:b w:val="0"/>
          <w:color w:val="auto"/>
          <w:sz w:val="22"/>
          <w:lang w:val="en-GB"/>
        </w:rPr>
        <w:t xml:space="preserve">. The </w:t>
      </w:r>
      <w:r w:rsidRPr="004F55E2">
        <w:rPr>
          <w:rFonts w:ascii="Times New Roman" w:eastAsia="Calibri" w:hAnsi="Times New Roman"/>
          <w:bCs/>
          <w:color w:val="auto"/>
          <w:sz w:val="22"/>
          <w:lang w:val="en-GB"/>
        </w:rPr>
        <w:t>prior knowledge</w:t>
      </w:r>
      <w:r w:rsidRPr="004F55E2">
        <w:rPr>
          <w:rFonts w:ascii="Times New Roman" w:eastAsia="Calibri" w:hAnsi="Times New Roman"/>
          <w:b w:val="0"/>
          <w:color w:val="auto"/>
          <w:sz w:val="22"/>
          <w:lang w:val="en-GB"/>
        </w:rPr>
        <w:t xml:space="preserve"> in the textbook offers an opportunity for students to work in small groups and discuss the concepts of quantity and equivalence. The questions bring a focus to the fact that a quantity varies in space and time.</w:t>
      </w:r>
    </w:p>
    <w:p w14:paraId="758C80F9" w14:textId="5AE7584E" w:rsidR="006550B7" w:rsidRPr="004F55E2" w:rsidRDefault="006550B7" w:rsidP="00076026">
      <w:pPr>
        <w:pStyle w:val="BHead"/>
        <w:rPr>
          <w:rFonts w:eastAsia="Times New Roman"/>
          <w:color w:val="FFC000"/>
          <w:sz w:val="40"/>
          <w:lang w:val="en-GB"/>
        </w:rPr>
      </w:pPr>
      <w:r w:rsidRPr="004F55E2">
        <w:rPr>
          <w:rFonts w:eastAsia="Times New Roman"/>
          <w:color w:val="FFC000"/>
          <w:sz w:val="40"/>
          <w:lang w:val="en-GB"/>
        </w:rPr>
        <w:t xml:space="preserve">4 Complex </w:t>
      </w:r>
      <w:r w:rsidR="004F55E2">
        <w:rPr>
          <w:rFonts w:eastAsia="Times New Roman"/>
          <w:color w:val="FFC000"/>
          <w:sz w:val="40"/>
          <w:lang w:val="en-GB"/>
        </w:rPr>
        <w:t>n</w:t>
      </w:r>
      <w:r w:rsidRPr="004F55E2">
        <w:rPr>
          <w:rFonts w:eastAsia="Times New Roman"/>
          <w:color w:val="FFC000"/>
          <w:sz w:val="40"/>
          <w:lang w:val="en-GB"/>
        </w:rPr>
        <w:t>umbers</w:t>
      </w:r>
      <w:r w:rsidRPr="004F55E2">
        <w:rPr>
          <w:rFonts w:eastAsia="Times New Roman"/>
          <w:color w:val="FFC000"/>
          <w:sz w:val="40"/>
          <w:lang w:val="en-GB"/>
        </w:rPr>
        <w:br/>
        <w:t>8 Vectors</w:t>
      </w:r>
    </w:p>
    <w:p w14:paraId="368D7976" w14:textId="57C440D5" w:rsidR="00076026" w:rsidRPr="004F55E2" w:rsidRDefault="006550B7" w:rsidP="00076026">
      <w:pPr>
        <w:pStyle w:val="BHead"/>
        <w:rPr>
          <w:lang w:val="en-GB"/>
        </w:rPr>
      </w:pPr>
      <w:r w:rsidRPr="004F55E2">
        <w:rPr>
          <w:lang w:val="en-GB"/>
        </w:rPr>
        <w:t>Concept focus: Representation, Space</w:t>
      </w:r>
    </w:p>
    <w:p w14:paraId="4E772E7A" w14:textId="71F5152F" w:rsidR="006550B7" w:rsidRPr="004F55E2" w:rsidRDefault="006550B7" w:rsidP="006550B7">
      <w:pPr>
        <w:pStyle w:val="BTBodyText"/>
        <w:rPr>
          <w:lang w:val="en-GB"/>
        </w:rPr>
      </w:pPr>
      <w:r w:rsidRPr="004F55E2">
        <w:rPr>
          <w:lang w:val="en-GB"/>
        </w:rPr>
        <w:t xml:space="preserve">The concepts of representation and space feature heavily in these two chapters and they can be connected by the topic of vectors. The ‘Introduction to Vectors’ PowerPoint in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serves as a nice introduction to the concept of space. </w:t>
      </w:r>
    </w:p>
    <w:p w14:paraId="7EB9BD99" w14:textId="44B2E3E0" w:rsidR="00076026" w:rsidRPr="002414F9" w:rsidRDefault="006550B7" w:rsidP="006550B7">
      <w:pPr>
        <w:pStyle w:val="BTBodyText"/>
        <w:rPr>
          <w:lang w:val="en-GB"/>
        </w:rPr>
      </w:pPr>
      <w:r w:rsidRPr="004F55E2">
        <w:rPr>
          <w:lang w:val="en-GB"/>
        </w:rPr>
        <w:lastRenderedPageBreak/>
        <w:t xml:space="preserve">There are lovely TOK discussion points in Chapter 4 that offer up discussions around the concept of representation. There is a lot of potential for an </w:t>
      </w:r>
      <w:r w:rsidR="004F55E2">
        <w:rPr>
          <w:lang w:val="en-GB"/>
        </w:rPr>
        <w:t>e</w:t>
      </w:r>
      <w:r w:rsidRPr="004F55E2">
        <w:rPr>
          <w:lang w:val="en-GB"/>
        </w:rPr>
        <w:t>xploration piece around these topics.</w:t>
      </w:r>
    </w:p>
    <w:p w14:paraId="767D693A" w14:textId="6DB66BC1" w:rsidR="00076026" w:rsidRPr="004F55E2" w:rsidRDefault="006550B7" w:rsidP="00076026">
      <w:pPr>
        <w:pStyle w:val="AHead"/>
        <w:rPr>
          <w:color w:val="auto"/>
          <w:lang w:val="en-GB"/>
        </w:rPr>
      </w:pPr>
      <w:r w:rsidRPr="004F55E2">
        <w:rPr>
          <w:lang w:val="en-GB"/>
        </w:rPr>
        <w:t xml:space="preserve">5 Mathematical </w:t>
      </w:r>
      <w:r w:rsidR="004F55E2">
        <w:rPr>
          <w:lang w:val="en-GB"/>
        </w:rPr>
        <w:t>p</w:t>
      </w:r>
      <w:r w:rsidRPr="004F55E2">
        <w:rPr>
          <w:lang w:val="en-GB"/>
        </w:rPr>
        <w:t>roof</w:t>
      </w:r>
    </w:p>
    <w:p w14:paraId="081443D8" w14:textId="2E1F90FD" w:rsidR="006550B7" w:rsidRPr="004F55E2" w:rsidRDefault="00076026" w:rsidP="00076026">
      <w:pPr>
        <w:pStyle w:val="BHead"/>
        <w:rPr>
          <w:lang w:val="en-GB"/>
        </w:rPr>
      </w:pPr>
      <w:r w:rsidRPr="004F55E2">
        <w:rPr>
          <w:lang w:val="en-GB"/>
        </w:rPr>
        <w:t xml:space="preserve">Concept focus: </w:t>
      </w:r>
      <w:r w:rsidR="006550B7" w:rsidRPr="004F55E2">
        <w:rPr>
          <w:lang w:val="en-GB"/>
        </w:rPr>
        <w:t>Generalization</w:t>
      </w:r>
    </w:p>
    <w:p w14:paraId="1E52437A" w14:textId="62F158BC" w:rsidR="00076026" w:rsidRPr="004F55E2" w:rsidRDefault="006550B7" w:rsidP="00076026">
      <w:pPr>
        <w:pStyle w:val="BTBodyText"/>
        <w:rPr>
          <w:lang w:val="en-GB"/>
        </w:rPr>
      </w:pPr>
      <w:r w:rsidRPr="004F55E2">
        <w:rPr>
          <w:lang w:val="en-GB"/>
        </w:rPr>
        <w:t xml:space="preserve">The concept focus for this chapter is supported by the TOK discussion ‘Ways of knowing’. The ‘Proof by Induction’ PowerPoint in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supports the </w:t>
      </w:r>
      <w:r w:rsidRPr="002414F9">
        <w:rPr>
          <w:b/>
          <w:bCs/>
          <w:lang w:val="en-GB"/>
        </w:rPr>
        <w:t>Section 5A</w:t>
      </w:r>
      <w:r w:rsidRPr="004F55E2">
        <w:rPr>
          <w:lang w:val="en-GB"/>
        </w:rPr>
        <w:t xml:space="preserve"> in the textbook and should be discussed prior to starting this section in the book.</w:t>
      </w:r>
    </w:p>
    <w:p w14:paraId="18E6C950" w14:textId="03CAF1CA" w:rsidR="00076026" w:rsidRPr="004F55E2" w:rsidRDefault="006550B7" w:rsidP="00076026">
      <w:pPr>
        <w:pStyle w:val="AHead"/>
        <w:rPr>
          <w:color w:val="auto"/>
          <w:lang w:val="en-GB"/>
        </w:rPr>
      </w:pPr>
      <w:r w:rsidRPr="004F55E2">
        <w:rPr>
          <w:lang w:val="en-GB"/>
        </w:rPr>
        <w:t>6 Polynomials</w:t>
      </w:r>
      <w:r w:rsidRPr="004F55E2">
        <w:rPr>
          <w:lang w:val="en-GB"/>
        </w:rPr>
        <w:br/>
        <w:t>7 Functions</w:t>
      </w:r>
    </w:p>
    <w:p w14:paraId="68C5D036" w14:textId="5F5E1993" w:rsidR="00076026" w:rsidRPr="004F55E2" w:rsidRDefault="00076026" w:rsidP="00076026">
      <w:pPr>
        <w:pStyle w:val="BHead"/>
        <w:rPr>
          <w:lang w:val="en-GB"/>
        </w:rPr>
      </w:pPr>
      <w:r w:rsidRPr="004F55E2">
        <w:rPr>
          <w:lang w:val="en-GB"/>
        </w:rPr>
        <w:t xml:space="preserve">Concept focus: </w:t>
      </w:r>
      <w:r w:rsidR="006550B7" w:rsidRPr="004F55E2">
        <w:rPr>
          <w:lang w:val="en-GB"/>
        </w:rPr>
        <w:t>Representation</w:t>
      </w:r>
    </w:p>
    <w:p w14:paraId="2CBFB8D1" w14:textId="542693F9" w:rsidR="006550B7" w:rsidRPr="004F55E2" w:rsidRDefault="006550B7" w:rsidP="006550B7">
      <w:pPr>
        <w:pStyle w:val="BTBodyText"/>
        <w:rPr>
          <w:lang w:val="en-GB"/>
        </w:rPr>
      </w:pPr>
      <w:r w:rsidRPr="004F55E2">
        <w:rPr>
          <w:lang w:val="en-GB"/>
        </w:rPr>
        <w:t xml:space="preserve">The concept of representation is prominent in these two chapters.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offer discussion on polynomial division and the ‘Oblique asymptotes’ PowerPoint consolidates students’ use of the division technique. These tasks should be attempted before starting </w:t>
      </w:r>
      <w:r w:rsidRPr="002414F9">
        <w:rPr>
          <w:b/>
          <w:bCs/>
          <w:lang w:val="en-GB"/>
        </w:rPr>
        <w:t>Section 6B</w:t>
      </w:r>
      <w:r w:rsidRPr="004F55E2">
        <w:rPr>
          <w:lang w:val="en-GB"/>
        </w:rPr>
        <w:t xml:space="preserve"> in the textbook. </w:t>
      </w:r>
    </w:p>
    <w:p w14:paraId="0DF8394E" w14:textId="27EA0458" w:rsidR="00076026" w:rsidRPr="004F55E2" w:rsidRDefault="006550B7" w:rsidP="006550B7">
      <w:pPr>
        <w:pStyle w:val="BTBodyText"/>
        <w:rPr>
          <w:lang w:val="en-GB"/>
        </w:rPr>
      </w:pPr>
      <w:r w:rsidRPr="004F55E2">
        <w:rPr>
          <w:lang w:val="en-GB"/>
        </w:rPr>
        <w:t xml:space="preserve">Before commencing with </w:t>
      </w:r>
      <w:r w:rsidRPr="002414F9">
        <w:rPr>
          <w:b/>
          <w:bCs/>
          <w:lang w:val="en-GB"/>
        </w:rPr>
        <w:t>Section 7C</w:t>
      </w:r>
      <w:r w:rsidRPr="004F55E2">
        <w:rPr>
          <w:lang w:val="en-GB"/>
        </w:rPr>
        <w:t xml:space="preserve"> in the textbook consider giving the students the ‘Absolute value’ task from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It will serve as a nice introduction to the topic and enhance the understanding of the concept of representation.</w:t>
      </w:r>
    </w:p>
    <w:p w14:paraId="53B389B9" w14:textId="546B68EE" w:rsidR="00076026" w:rsidRPr="004F55E2" w:rsidRDefault="006550B7" w:rsidP="00076026">
      <w:pPr>
        <w:pStyle w:val="AHead"/>
        <w:rPr>
          <w:color w:val="000000" w:themeColor="text1"/>
          <w:lang w:val="en-GB"/>
        </w:rPr>
      </w:pPr>
      <w:r w:rsidRPr="004F55E2">
        <w:rPr>
          <w:lang w:val="en-GB"/>
        </w:rPr>
        <w:t>9 Probability</w:t>
      </w:r>
      <w:r w:rsidR="00076026" w:rsidRPr="004F55E2">
        <w:rPr>
          <w:lang w:val="en-GB"/>
        </w:rPr>
        <w:t xml:space="preserve"> </w:t>
      </w:r>
    </w:p>
    <w:p w14:paraId="29B76875" w14:textId="74EB94B8" w:rsidR="00076026" w:rsidRPr="004F55E2" w:rsidRDefault="00076026" w:rsidP="00076026">
      <w:pPr>
        <w:pStyle w:val="BHead"/>
        <w:rPr>
          <w:lang w:val="en-GB"/>
        </w:rPr>
      </w:pPr>
      <w:r w:rsidRPr="004F55E2">
        <w:rPr>
          <w:lang w:val="en-GB"/>
        </w:rPr>
        <w:t xml:space="preserve">Concept focus: </w:t>
      </w:r>
      <w:r w:rsidR="006550B7" w:rsidRPr="004F55E2">
        <w:rPr>
          <w:lang w:val="en-GB"/>
        </w:rPr>
        <w:t>Modelling, Approximation</w:t>
      </w:r>
    </w:p>
    <w:p w14:paraId="2086E32D" w14:textId="648FAD22" w:rsidR="006550B7" w:rsidRPr="004F55E2" w:rsidRDefault="006550B7" w:rsidP="002414F9">
      <w:pPr>
        <w:pStyle w:val="BTBodyText"/>
        <w:rPr>
          <w:lang w:val="en-GB"/>
        </w:rPr>
      </w:pPr>
      <w:r w:rsidRPr="004F55E2">
        <w:rPr>
          <w:lang w:val="en-GB"/>
        </w:rPr>
        <w:t xml:space="preserve">Both the textbook and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focus on the concept of approximation with regards to probability. </w:t>
      </w:r>
    </w:p>
    <w:p w14:paraId="7C2F19B5" w14:textId="17E55494" w:rsidR="00076026" w:rsidRPr="004F55E2" w:rsidRDefault="006550B7" w:rsidP="006550B7">
      <w:pPr>
        <w:pStyle w:val="BTBodyText"/>
        <w:rPr>
          <w:lang w:val="en-GB"/>
        </w:rPr>
      </w:pPr>
      <w:r w:rsidRPr="004F55E2">
        <w:rPr>
          <w:lang w:val="en-GB"/>
        </w:rPr>
        <w:t>The concept of modelling can be incorporated by having students work on the Monty Hall Proble</w:t>
      </w:r>
      <w:r w:rsidR="002414F9">
        <w:rPr>
          <w:lang w:val="en-GB"/>
        </w:rPr>
        <w:t>m</w:t>
      </w:r>
      <w:r w:rsidRPr="004F55E2">
        <w:rPr>
          <w:lang w:val="en-GB"/>
        </w:rPr>
        <w:t xml:space="preserve"> from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before starting this chapter of the book.</w:t>
      </w:r>
    </w:p>
    <w:p w14:paraId="57B7F03D" w14:textId="57BA3E00" w:rsidR="00076026" w:rsidRPr="004F55E2" w:rsidRDefault="006550B7" w:rsidP="00076026">
      <w:pPr>
        <w:pStyle w:val="AHead"/>
        <w:rPr>
          <w:color w:val="auto"/>
          <w:lang w:val="en-GB"/>
        </w:rPr>
      </w:pPr>
      <w:r w:rsidRPr="004F55E2">
        <w:rPr>
          <w:lang w:val="en-GB"/>
        </w:rPr>
        <w:t xml:space="preserve">10 Further </w:t>
      </w:r>
      <w:r w:rsidR="004F55E2">
        <w:rPr>
          <w:lang w:val="en-GB"/>
        </w:rPr>
        <w:t>c</w:t>
      </w:r>
      <w:r w:rsidRPr="004F55E2">
        <w:rPr>
          <w:lang w:val="en-GB"/>
        </w:rPr>
        <w:t>alculus</w:t>
      </w:r>
    </w:p>
    <w:p w14:paraId="4688424E" w14:textId="51D5EBA3" w:rsidR="00076026" w:rsidRPr="004F55E2" w:rsidRDefault="00076026" w:rsidP="00076026">
      <w:pPr>
        <w:pStyle w:val="BHead"/>
        <w:rPr>
          <w:lang w:val="en-GB"/>
        </w:rPr>
      </w:pPr>
      <w:r w:rsidRPr="004F55E2">
        <w:rPr>
          <w:lang w:val="en-GB"/>
        </w:rPr>
        <w:t xml:space="preserve">Concept focus: </w:t>
      </w:r>
      <w:r w:rsidR="006550B7" w:rsidRPr="004F55E2">
        <w:rPr>
          <w:lang w:val="en-GB"/>
        </w:rPr>
        <w:t>Approximation</w:t>
      </w:r>
    </w:p>
    <w:p w14:paraId="6FF2FBEB" w14:textId="54F5017D" w:rsidR="006550B7" w:rsidRPr="004F55E2" w:rsidRDefault="006550B7" w:rsidP="006550B7">
      <w:pPr>
        <w:pStyle w:val="BTBodyText"/>
        <w:rPr>
          <w:lang w:val="en-GB"/>
        </w:rPr>
      </w:pPr>
      <w:r w:rsidRPr="004F55E2">
        <w:rPr>
          <w:lang w:val="en-GB"/>
        </w:rPr>
        <w:t xml:space="preserve">The concept of approximation is prominent in both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and the textbook.</w:t>
      </w:r>
    </w:p>
    <w:p w14:paraId="4F40C33E" w14:textId="457752AE" w:rsidR="00076026" w:rsidRPr="004F55E2" w:rsidRDefault="006550B7" w:rsidP="006550B7">
      <w:pPr>
        <w:pStyle w:val="BTBodyText"/>
        <w:rPr>
          <w:lang w:val="en-GB"/>
        </w:rPr>
      </w:pPr>
      <w:r w:rsidRPr="004F55E2">
        <w:rPr>
          <w:b/>
          <w:bCs/>
          <w:lang w:val="en-GB"/>
        </w:rPr>
        <w:t>Key point 10.1</w:t>
      </w:r>
      <w:r w:rsidRPr="004F55E2">
        <w:rPr>
          <w:lang w:val="en-GB"/>
        </w:rPr>
        <w:t xml:space="preserve"> can be enhanced with the </w:t>
      </w:r>
      <w:r w:rsidR="004F55E2" w:rsidRPr="004F55E2">
        <w:rPr>
          <w:lang w:val="en-GB"/>
        </w:rPr>
        <w:t>‘</w:t>
      </w:r>
      <w:r w:rsidRPr="004F55E2">
        <w:rPr>
          <w:lang w:val="en-GB"/>
        </w:rPr>
        <w:t>Differentiation from first principles</w:t>
      </w:r>
      <w:r w:rsidR="004F55E2" w:rsidRPr="004F55E2">
        <w:rPr>
          <w:lang w:val="en-GB"/>
        </w:rPr>
        <w:t>’</w:t>
      </w:r>
      <w:r w:rsidRPr="004F55E2">
        <w:rPr>
          <w:lang w:val="en-GB"/>
        </w:rPr>
        <w:t xml:space="preserve"> PowerPoint from the </w:t>
      </w:r>
      <w:r w:rsidR="002414F9">
        <w:rPr>
          <w:b/>
          <w:bCs/>
          <w:lang w:val="en-GB"/>
        </w:rPr>
        <w:t>T</w:t>
      </w:r>
      <w:r w:rsidRPr="004F55E2">
        <w:rPr>
          <w:b/>
          <w:bCs/>
          <w:lang w:val="en-GB"/>
        </w:rPr>
        <w:t xml:space="preserve">eaching and learning </w:t>
      </w:r>
      <w:r w:rsidR="00296B89">
        <w:rPr>
          <w:b/>
          <w:bCs/>
          <w:lang w:val="en-GB"/>
        </w:rPr>
        <w:t>resources</w:t>
      </w:r>
      <w:r w:rsidRPr="004F55E2">
        <w:rPr>
          <w:lang w:val="en-GB"/>
        </w:rPr>
        <w:t xml:space="preserve">. </w:t>
      </w:r>
      <w:r w:rsidRPr="004F55E2">
        <w:rPr>
          <w:b/>
          <w:bCs/>
          <w:lang w:val="en-GB"/>
        </w:rPr>
        <w:t>Key point 10.10</w:t>
      </w:r>
      <w:r w:rsidRPr="004F55E2">
        <w:rPr>
          <w:lang w:val="en-GB"/>
        </w:rPr>
        <w:t xml:space="preserve"> can be introduced by using the </w:t>
      </w:r>
      <w:r w:rsidR="004F55E2" w:rsidRPr="004F55E2">
        <w:rPr>
          <w:lang w:val="en-GB"/>
        </w:rPr>
        <w:t>‘</w:t>
      </w:r>
      <w:r w:rsidRPr="004F55E2">
        <w:rPr>
          <w:lang w:val="en-GB"/>
        </w:rPr>
        <w:t>Volume of Revolution</w:t>
      </w:r>
      <w:r w:rsidR="004F55E2" w:rsidRPr="004F55E2">
        <w:rPr>
          <w:lang w:val="en-GB"/>
        </w:rPr>
        <w:t>’</w:t>
      </w:r>
      <w:r w:rsidRPr="004F55E2">
        <w:rPr>
          <w:lang w:val="en-GB"/>
        </w:rPr>
        <w:t xml:space="preserve"> PowerPoint and consolidated using the </w:t>
      </w:r>
      <w:r w:rsidR="004F55E2" w:rsidRPr="004F55E2">
        <w:rPr>
          <w:lang w:val="en-GB"/>
        </w:rPr>
        <w:t>‘</w:t>
      </w:r>
      <w:r w:rsidRPr="004F55E2">
        <w:rPr>
          <w:lang w:val="en-GB"/>
        </w:rPr>
        <w:t>TOK</w:t>
      </w:r>
      <w:r w:rsidR="004F55E2" w:rsidRPr="004F55E2">
        <w:rPr>
          <w:lang w:val="en-GB"/>
        </w:rPr>
        <w:t>’</w:t>
      </w:r>
      <w:r w:rsidRPr="004F55E2">
        <w:rPr>
          <w:lang w:val="en-GB"/>
        </w:rPr>
        <w:t xml:space="preserve"> PowerPoint around the subject of Gabriel’s Horn and infinite areas and finite volumes. Approximation is a key feature of these activities.</w:t>
      </w:r>
      <w:r w:rsidR="00076026" w:rsidRPr="004F55E2">
        <w:rPr>
          <w:lang w:val="en-GB"/>
        </w:rPr>
        <w:t xml:space="preserve"> </w:t>
      </w:r>
    </w:p>
    <w:p w14:paraId="4447D9B2" w14:textId="28BFB587" w:rsidR="00076026" w:rsidRPr="004F55E2" w:rsidRDefault="004F55E2" w:rsidP="00076026">
      <w:pPr>
        <w:pStyle w:val="AHead"/>
        <w:rPr>
          <w:color w:val="auto"/>
          <w:lang w:val="en-GB"/>
        </w:rPr>
      </w:pPr>
      <w:r w:rsidRPr="004F55E2">
        <w:rPr>
          <w:lang w:val="en-GB"/>
        </w:rPr>
        <w:lastRenderedPageBreak/>
        <w:t>11 Series and Differential Equations</w:t>
      </w:r>
    </w:p>
    <w:p w14:paraId="13775EA8" w14:textId="3A7CA2AE" w:rsidR="00076026" w:rsidRPr="004F55E2" w:rsidRDefault="00076026" w:rsidP="00076026">
      <w:pPr>
        <w:pStyle w:val="BHead"/>
        <w:rPr>
          <w:lang w:val="en-GB"/>
        </w:rPr>
      </w:pPr>
      <w:r w:rsidRPr="004F55E2">
        <w:rPr>
          <w:lang w:val="en-GB"/>
        </w:rPr>
        <w:t xml:space="preserve">Concept focus: </w:t>
      </w:r>
      <w:r w:rsidR="004F55E2" w:rsidRPr="004F55E2">
        <w:rPr>
          <w:lang w:val="en-GB"/>
        </w:rPr>
        <w:t>Change</w:t>
      </w:r>
    </w:p>
    <w:p w14:paraId="225879DE" w14:textId="2B743EF6" w:rsidR="00076026" w:rsidRPr="004F55E2" w:rsidRDefault="004F55E2" w:rsidP="00076026">
      <w:pPr>
        <w:pStyle w:val="BTBodyText"/>
        <w:rPr>
          <w:bCs/>
          <w:lang w:val="en-GB"/>
        </w:rPr>
      </w:pPr>
      <w:r w:rsidRPr="004F55E2">
        <w:rPr>
          <w:bCs/>
          <w:lang w:val="en-GB"/>
        </w:rPr>
        <w:t xml:space="preserve">The concept of change can be augmented by using the activities in the </w:t>
      </w:r>
      <w:r w:rsidR="002414F9">
        <w:rPr>
          <w:b/>
          <w:bCs/>
          <w:lang w:val="en-GB"/>
        </w:rPr>
        <w:t>T</w:t>
      </w:r>
      <w:r w:rsidRPr="004F55E2">
        <w:rPr>
          <w:b/>
          <w:lang w:val="en-GB"/>
        </w:rPr>
        <w:t xml:space="preserve">eaching and learning </w:t>
      </w:r>
      <w:r w:rsidR="00296B89">
        <w:rPr>
          <w:b/>
          <w:lang w:val="en-GB"/>
        </w:rPr>
        <w:t>resources</w:t>
      </w:r>
      <w:bookmarkStart w:id="0" w:name="_GoBack"/>
      <w:bookmarkEnd w:id="0"/>
      <w:r w:rsidRPr="004F55E2">
        <w:rPr>
          <w:b/>
          <w:lang w:val="en-GB"/>
        </w:rPr>
        <w:t xml:space="preserve">. </w:t>
      </w:r>
      <w:r w:rsidRPr="004F55E2">
        <w:rPr>
          <w:bCs/>
          <w:lang w:val="en-GB"/>
        </w:rPr>
        <w:t>The section in the textbook that discusses Euler’s method can be introduced by using the PowerPoint in the learning pack. The resource also comes with a spreadsheet that the students can use to change the value of the variables in order to understand the concept in more detail.</w:t>
      </w:r>
    </w:p>
    <w:sectPr w:rsidR="00076026" w:rsidRPr="004F55E2" w:rsidSect="00492C72">
      <w:headerReference w:type="default" r:id="rId8"/>
      <w:footerReference w:type="default" r:id="rId9"/>
      <w:headerReference w:type="first" r:id="rId10"/>
      <w:footerReference w:type="first" r:id="rId11"/>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7E9CF" w14:textId="77777777" w:rsidR="005371B6" w:rsidRDefault="005371B6" w:rsidP="0015225E">
      <w:r>
        <w:separator/>
      </w:r>
    </w:p>
  </w:endnote>
  <w:endnote w:type="continuationSeparator" w:id="0">
    <w:p w14:paraId="53269727" w14:textId="77777777" w:rsidR="005371B6" w:rsidRDefault="005371B6"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59315857" w14:textId="582E484E" w:rsidR="00D01CC4" w:rsidRPr="00D01CC4" w:rsidRDefault="00492C72" w:rsidP="00D01CC4">
    <w:pPr>
      <w:ind w:left="1871"/>
      <w:rPr>
        <w:rFonts w:ascii="Arial" w:hAnsi="Arial" w:cs="Arial"/>
        <w:sz w:val="16"/>
        <w:szCs w:val="16"/>
      </w:rPr>
    </w:pPr>
    <w:r>
      <w:rPr>
        <w:noProof/>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0A55" w:rsidRPr="00E30A55">
      <w:rPr>
        <w:rFonts w:ascii="Arial" w:hAnsi="Arial" w:cs="Arial"/>
        <w:i/>
        <w:sz w:val="18"/>
      </w:rPr>
      <w:t xml:space="preserve"> </w:t>
    </w:r>
    <w:r w:rsidR="0058120A">
      <w:rPr>
        <w:rFonts w:ascii="Arial" w:hAnsi="Arial" w:cs="Arial"/>
        <w:i/>
        <w:sz w:val="18"/>
      </w:rPr>
      <w:t>Mathematics for the IB Diploma:</w:t>
    </w:r>
    <w:r w:rsidR="0058120A">
      <w:t xml:space="preserve"> </w:t>
    </w:r>
    <w:r w:rsidR="0058120A">
      <w:rPr>
        <w:rFonts w:ascii="Arial" w:hAnsi="Arial" w:cs="Arial"/>
        <w:i/>
        <w:sz w:val="18"/>
      </w:rPr>
      <w:t>Analysis and approaches</w:t>
    </w:r>
    <w:r w:rsidR="0058120A">
      <w:rPr>
        <w:rFonts w:ascii="Arial" w:hAnsi="Arial" w:cs="Arial"/>
        <w:sz w:val="18"/>
      </w:rPr>
      <w:br/>
    </w:r>
    <w:r w:rsidR="0058120A">
      <w:rPr>
        <w:rFonts w:ascii="Arial" w:hAnsi="Arial" w:cs="Arial"/>
        <w:sz w:val="16"/>
        <w:szCs w:val="16"/>
      </w:rPr>
      <w:t>© Huw Jones 20</w:t>
    </w:r>
    <w:r w:rsidR="00D01CC4">
      <w:rPr>
        <w:rFonts w:ascii="Arial" w:hAnsi="Arial" w:cs="Arial"/>
        <w:sz w:val="16"/>
        <w:szCs w:val="16"/>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2</w:t>
    </w:r>
    <w:r w:rsidRPr="00C027D4">
      <w:rPr>
        <w:rStyle w:val="PageNumber"/>
        <w:rFonts w:ascii="Arial" w:hAnsi="Arial" w:cs="Arial"/>
        <w:b/>
      </w:rPr>
      <w:fldChar w:fldCharType="end"/>
    </w:r>
  </w:p>
  <w:p w14:paraId="347A7025" w14:textId="2AA7C801" w:rsidR="00492C72" w:rsidRPr="00492C72" w:rsidRDefault="00492C72" w:rsidP="00492C72">
    <w:pPr>
      <w:ind w:left="1871"/>
      <w:rPr>
        <w:rFonts w:ascii="Arial" w:hAnsi="Arial" w:cs="Arial"/>
        <w:sz w:val="18"/>
      </w:rPr>
    </w:pPr>
    <w:r>
      <w:rPr>
        <w:noProof/>
      </w:rPr>
      <w:drawing>
        <wp:anchor distT="0" distB="0" distL="0" distR="1800225" simplePos="0" relativeHeight="25166745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120A">
      <w:rPr>
        <w:rFonts w:ascii="Arial" w:hAnsi="Arial" w:cs="Arial"/>
        <w:i/>
        <w:sz w:val="18"/>
      </w:rPr>
      <w:t>Mathematics for the IB Diploma:</w:t>
    </w:r>
    <w:r w:rsidR="0058120A">
      <w:t xml:space="preserve"> </w:t>
    </w:r>
    <w:r w:rsidR="0058120A">
      <w:rPr>
        <w:rFonts w:ascii="Arial" w:hAnsi="Arial" w:cs="Arial"/>
        <w:i/>
        <w:sz w:val="18"/>
      </w:rPr>
      <w:t>Analysis and approaches</w:t>
    </w:r>
    <w:r w:rsidR="0058120A">
      <w:rPr>
        <w:rFonts w:ascii="Arial" w:hAnsi="Arial" w:cs="Arial"/>
        <w:sz w:val="18"/>
      </w:rPr>
      <w:br/>
    </w:r>
    <w:r w:rsidR="0058120A">
      <w:rPr>
        <w:rFonts w:ascii="Arial" w:hAnsi="Arial" w:cs="Arial"/>
        <w:sz w:val="16"/>
        <w:szCs w:val="16"/>
      </w:rPr>
      <w:t>© Huw Jones 20</w:t>
    </w:r>
    <w:r w:rsidR="00D01CC4">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05A50" w14:textId="77777777" w:rsidR="005371B6" w:rsidRDefault="005371B6" w:rsidP="0015225E">
      <w:r>
        <w:separator/>
      </w:r>
    </w:p>
  </w:footnote>
  <w:footnote w:type="continuationSeparator" w:id="0">
    <w:p w14:paraId="4935A5D1" w14:textId="77777777" w:rsidR="005371B6" w:rsidRDefault="005371B6"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15225E" w:rsidRDefault="0015225E">
    <w:pPr>
      <w:pStyle w:val="Header"/>
    </w:pPr>
    <w:r>
      <w:rPr>
        <w:noProof/>
        <w:lang w:val="fr-FR"/>
      </w:rPr>
      <mc:AlternateContent>
        <mc:Choice Requires="wps">
          <w:drawing>
            <wp:anchor distT="0" distB="0" distL="114300" distR="114300" simplePos="0" relativeHeight="251661312" behindDoc="0" locked="0" layoutInCell="1" allowOverlap="1" wp14:anchorId="55B00E74" wp14:editId="60544A80">
              <wp:simplePos x="0" y="0"/>
              <wp:positionH relativeFrom="column">
                <wp:posOffset>5895005</wp:posOffset>
              </wp:positionH>
              <wp:positionV relativeFrom="paragraph">
                <wp:posOffset>-450216</wp:posOffset>
              </wp:positionV>
              <wp:extent cx="741146" cy="7661709"/>
              <wp:effectExtent l="0" t="0" r="20955" b="53975"/>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BB0910" w14:textId="27A25BF4" w:rsidR="00E30A55" w:rsidRDefault="009E0DCD" w:rsidP="00E30A55">
                          <w:pPr>
                            <w:pStyle w:val="RHRunningHead"/>
                            <w:rPr>
                              <w:rStyle w:val="AHeadSection"/>
                              <w:rFonts w:eastAsia="Calibri"/>
                              <w:b/>
                              <w:lang w:val="en-GB"/>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 </w:t>
                          </w:r>
                          <w:r w:rsidR="008D11B3">
                            <w:rPr>
                              <w:rStyle w:val="AHeadSection"/>
                              <w:rFonts w:eastAsia="Calibri"/>
                              <w:b/>
                              <w:lang w:val="en-GB"/>
                            </w:rPr>
                            <w:t>H</w:t>
                          </w:r>
                          <w:r>
                            <w:rPr>
                              <w:rStyle w:val="AHeadSection"/>
                              <w:rFonts w:eastAsia="Calibri"/>
                              <w:b/>
                              <w:lang w:val="en-GB"/>
                            </w:rPr>
                            <w:t>L</w:t>
                          </w:r>
                        </w:p>
                        <w:p w14:paraId="06484939" w14:textId="77777777" w:rsidR="009E0DCD" w:rsidRPr="0058104C" w:rsidRDefault="009E0DCD" w:rsidP="009E0DCD">
                          <w:pPr>
                            <w:pStyle w:val="RHRunningHead"/>
                            <w:jc w:val="center"/>
                            <w:rPr>
                              <w:b w:val="0"/>
                            </w:rPr>
                          </w:pPr>
                        </w:p>
                        <w:p w14:paraId="6A9B02DB" w14:textId="5C33FEB6" w:rsidR="0015225E" w:rsidRPr="0058104C" w:rsidRDefault="0015225E" w:rsidP="0015225E">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4.1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" fillcolor="#538135 [2409]" strokecolor="#1f3763 [1604]" strokeweight="1pt">
              <v:textbox style="layout-flow:vertical-ideographic" inset="2mm,0,2mm,25mm">
                <w:txbxContent>
                  <w:p w14:paraId="1CBB0910" w14:textId="27A25BF4" w:rsidR="00E30A55" w:rsidRDefault="009E0DCD" w:rsidP="00E30A55">
                    <w:pPr>
                      <w:pStyle w:val="RHRunningHead"/>
                      <w:rPr>
                        <w:rStyle w:val="AHeadSection"/>
                        <w:rFonts w:eastAsia="Calibri"/>
                        <w:b/>
                        <w:lang w:val="en-GB"/>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 </w:t>
                    </w:r>
                    <w:r w:rsidR="008D11B3">
                      <w:rPr>
                        <w:rStyle w:val="AHeadSection"/>
                        <w:rFonts w:eastAsia="Calibri"/>
                        <w:b/>
                        <w:lang w:val="en-GB"/>
                      </w:rPr>
                      <w:t>H</w:t>
                    </w:r>
                    <w:r>
                      <w:rPr>
                        <w:rStyle w:val="AHeadSection"/>
                        <w:rFonts w:eastAsia="Calibri"/>
                        <w:b/>
                        <w:lang w:val="en-GB"/>
                      </w:rPr>
                      <w:t>L</w:t>
                    </w:r>
                  </w:p>
                  <w:p w14:paraId="06484939" w14:textId="77777777" w:rsidR="009E0DCD" w:rsidRPr="0058104C" w:rsidRDefault="009E0DCD" w:rsidP="009E0DCD">
                    <w:pPr>
                      <w:pStyle w:val="RHRunningHead"/>
                      <w:jc w:val="center"/>
                      <w:rPr>
                        <w:b w:val="0"/>
                      </w:rPr>
                    </w:pPr>
                  </w:p>
                  <w:p w14:paraId="6A9B02DB" w14:textId="5C33FEB6" w:rsidR="0015225E" w:rsidRPr="0058104C" w:rsidRDefault="0015225E" w:rsidP="0015225E">
                    <w:pPr>
                      <w:pStyle w:val="RHRunningHead"/>
                      <w:rPr>
                        <w:b w:val="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438157CF" w:rsidR="00492C72" w:rsidRDefault="00E30A55" w:rsidP="00492C72">
    <w:pPr>
      <w:pStyle w:val="Header"/>
    </w:pPr>
    <w:r>
      <w:rPr>
        <w:noProof/>
        <w:lang w:val="fr-FR"/>
      </w:rPr>
      <mc:AlternateContent>
        <mc:Choice Requires="wps">
          <w:drawing>
            <wp:anchor distT="0" distB="0" distL="114300" distR="114300" simplePos="0" relativeHeight="251664384" behindDoc="0" locked="0" layoutInCell="1" allowOverlap="1" wp14:anchorId="3367964F" wp14:editId="3CBA39EC">
              <wp:simplePos x="0" y="0"/>
              <wp:positionH relativeFrom="page">
                <wp:align>right</wp:align>
              </wp:positionH>
              <wp:positionV relativeFrom="paragraph">
                <wp:posOffset>-450215</wp:posOffset>
              </wp:positionV>
              <wp:extent cx="741146" cy="7661709"/>
              <wp:effectExtent l="0" t="0" r="20955" b="53975"/>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2E276705" w:rsidR="00492C72" w:rsidRPr="0058104C" w:rsidRDefault="009E0DCD" w:rsidP="00492C72">
                          <w:pPr>
                            <w:pStyle w:val="RHRunningHead"/>
                            <w:rPr>
                              <w:b w:val="0"/>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w:t>
                          </w:r>
                          <w:r>
                            <w:rPr>
                              <w:rStyle w:val="AHeadSection"/>
                              <w:rFonts w:eastAsia="Calibri" w:cs="Arial"/>
                              <w:b/>
                              <w:lang w:val="en-GB"/>
                            </w:rPr>
                            <w:t>–</w:t>
                          </w:r>
                          <w:r>
                            <w:rPr>
                              <w:rStyle w:val="AHeadSection"/>
                              <w:rFonts w:eastAsia="Calibri"/>
                              <w:b/>
                              <w:lang w:val="en-GB"/>
                            </w:rPr>
                            <w:t xml:space="preserve"> </w:t>
                          </w:r>
                          <w:r w:rsidR="008D11B3">
                            <w:rPr>
                              <w:rStyle w:val="AHeadSection"/>
                              <w:rFonts w:eastAsia="Calibri"/>
                              <w:b/>
                              <w:lang w:val="en-GB"/>
                            </w:rPr>
                            <w:t>H</w:t>
                          </w:r>
                          <w:r>
                            <w:rPr>
                              <w:rStyle w:val="AHeadSection"/>
                              <w:rFonts w:eastAsia="Calibri"/>
                              <w:b/>
                              <w:lang w:val="en-GB"/>
                            </w:rPr>
                            <w:t>L</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7.15pt;margin-top:-35.45pt;width:58.35pt;height:603.3pt;rotation:180;z-index:25166438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" fillcolor="#538135 [2409]" strokecolor="#1f3763 [1604]" strokeweight="1pt">
              <v:textbox style="layout-flow:vertical-ideographic" inset="2mm,0,2mm,25mm">
                <w:txbxContent>
                  <w:p w14:paraId="674BE8CE" w14:textId="2E276705" w:rsidR="00492C72" w:rsidRPr="0058104C" w:rsidRDefault="009E0DCD" w:rsidP="00492C72">
                    <w:pPr>
                      <w:pStyle w:val="RHRunningHead"/>
                      <w:rPr>
                        <w:b w:val="0"/>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w:t>
                    </w:r>
                    <w:r>
                      <w:rPr>
                        <w:rStyle w:val="AHeadSection"/>
                        <w:rFonts w:eastAsia="Calibri" w:cs="Arial"/>
                        <w:b/>
                        <w:lang w:val="en-GB"/>
                      </w:rPr>
                      <w:t>–</w:t>
                    </w:r>
                    <w:r>
                      <w:rPr>
                        <w:rStyle w:val="AHeadSection"/>
                        <w:rFonts w:eastAsia="Calibri"/>
                        <w:b/>
                        <w:lang w:val="en-GB"/>
                      </w:rPr>
                      <w:t xml:space="preserve"> </w:t>
                    </w:r>
                    <w:r w:rsidR="008D11B3">
                      <w:rPr>
                        <w:rStyle w:val="AHeadSection"/>
                        <w:rFonts w:eastAsia="Calibri"/>
                        <w:b/>
                        <w:lang w:val="en-GB"/>
                      </w:rPr>
                      <w:t>H</w:t>
                    </w:r>
                    <w:r>
                      <w:rPr>
                        <w:rStyle w:val="AHeadSection"/>
                        <w:rFonts w:eastAsia="Calibri"/>
                        <w:b/>
                        <w:lang w:val="en-GB"/>
                      </w:rPr>
                      <w:t>L</w:t>
                    </w:r>
                  </w:p>
                </w:txbxContent>
              </v:textbox>
              <w10:wrap anchorx="page"/>
            </v:shape>
          </w:pict>
        </mc:Fallback>
      </mc:AlternateContent>
    </w:r>
    <w:r w:rsidR="00492C72">
      <w:rPr>
        <w:noProof/>
        <w:lang w:val="fr-FR"/>
      </w:rPr>
      <mc:AlternateContent>
        <mc:Choice Requires="wps">
          <w:drawing>
            <wp:anchor distT="0" distB="0" distL="114300" distR="114300" simplePos="0" relativeHeight="251665408" behindDoc="0" locked="0" layoutInCell="1" allowOverlap="1" wp14:anchorId="184CEA56" wp14:editId="4B9BCEFB">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44778D7"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492C72" w:rsidRDefault="0049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7C02"/>
    <w:multiLevelType w:val="hybridMultilevel"/>
    <w:tmpl w:val="48AA0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D621FD"/>
    <w:multiLevelType w:val="hybridMultilevel"/>
    <w:tmpl w:val="4DF8B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43052E4"/>
    <w:multiLevelType w:val="multilevel"/>
    <w:tmpl w:val="9A16ED34"/>
    <w:lvl w:ilvl="0">
      <w:start w:val="1"/>
      <w:numFmt w:val="bullet"/>
      <w:lvlText w:val=""/>
      <w:lvlJc w:val="left"/>
      <w:pPr>
        <w:ind w:left="106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 w15:restartNumberingAfterBreak="0">
    <w:nsid w:val="38C172FE"/>
    <w:multiLevelType w:val="hybridMultilevel"/>
    <w:tmpl w:val="716841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56FF3C91"/>
    <w:multiLevelType w:val="hybridMultilevel"/>
    <w:tmpl w:val="1E5E7A7E"/>
    <w:lvl w:ilvl="0" w:tplc="7EF4E378">
      <w:start w:val="1"/>
      <w:numFmt w:val="bullet"/>
      <w:pStyle w:val="BTBodyunorderedsublist"/>
      <w:lvlText w:val="o"/>
      <w:lvlJc w:val="left"/>
      <w:pPr>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 w15:restartNumberingAfterBreak="0">
    <w:nsid w:val="58D24B3E"/>
    <w:multiLevelType w:val="hybridMultilevel"/>
    <w:tmpl w:val="8EF48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B00C8C"/>
    <w:multiLevelType w:val="hybridMultilevel"/>
    <w:tmpl w:val="061A66D4"/>
    <w:lvl w:ilvl="0" w:tplc="3A6E0608">
      <w:start w:val="1"/>
      <w:numFmt w:val="bullet"/>
      <w:pStyle w:val="BTBodyunorderedlist"/>
      <w:lvlText w:val=""/>
      <w:lvlJc w:val="left"/>
      <w:pPr>
        <w:ind w:left="503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AA0A9C"/>
    <w:multiLevelType w:val="hybridMultilevel"/>
    <w:tmpl w:val="C4765E1E"/>
    <w:lvl w:ilvl="0" w:tplc="68AC2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E"/>
    <w:rsid w:val="00003CB7"/>
    <w:rsid w:val="00012C23"/>
    <w:rsid w:val="00074B7E"/>
    <w:rsid w:val="00076026"/>
    <w:rsid w:val="000B50C1"/>
    <w:rsid w:val="000B5951"/>
    <w:rsid w:val="000F2CF3"/>
    <w:rsid w:val="00120C0A"/>
    <w:rsid w:val="0015225E"/>
    <w:rsid w:val="00177B15"/>
    <w:rsid w:val="00193C22"/>
    <w:rsid w:val="001C34C5"/>
    <w:rsid w:val="002345B0"/>
    <w:rsid w:val="002414F9"/>
    <w:rsid w:val="00296B89"/>
    <w:rsid w:val="002A0002"/>
    <w:rsid w:val="002D3CD6"/>
    <w:rsid w:val="003332ED"/>
    <w:rsid w:val="0038617C"/>
    <w:rsid w:val="003C134B"/>
    <w:rsid w:val="004056E7"/>
    <w:rsid w:val="00492C72"/>
    <w:rsid w:val="004B6C2E"/>
    <w:rsid w:val="004F3889"/>
    <w:rsid w:val="004F55E2"/>
    <w:rsid w:val="00507D43"/>
    <w:rsid w:val="005371B6"/>
    <w:rsid w:val="00577B68"/>
    <w:rsid w:val="0058104C"/>
    <w:rsid w:val="0058120A"/>
    <w:rsid w:val="005C7652"/>
    <w:rsid w:val="005D0BC8"/>
    <w:rsid w:val="006550B7"/>
    <w:rsid w:val="006D0EFB"/>
    <w:rsid w:val="00871B98"/>
    <w:rsid w:val="008D11B3"/>
    <w:rsid w:val="009B4A19"/>
    <w:rsid w:val="009D34E9"/>
    <w:rsid w:val="009E0DCD"/>
    <w:rsid w:val="00A16924"/>
    <w:rsid w:val="00A23530"/>
    <w:rsid w:val="00A63AFA"/>
    <w:rsid w:val="00A77C20"/>
    <w:rsid w:val="00B33011"/>
    <w:rsid w:val="00B5722C"/>
    <w:rsid w:val="00BA6913"/>
    <w:rsid w:val="00BE0A15"/>
    <w:rsid w:val="00C16747"/>
    <w:rsid w:val="00C6201C"/>
    <w:rsid w:val="00C8147B"/>
    <w:rsid w:val="00CD509D"/>
    <w:rsid w:val="00D01CC4"/>
    <w:rsid w:val="00D57CA0"/>
    <w:rsid w:val="00D62B81"/>
    <w:rsid w:val="00D879BF"/>
    <w:rsid w:val="00DC495E"/>
    <w:rsid w:val="00E30A55"/>
    <w:rsid w:val="00E5152C"/>
    <w:rsid w:val="00EF4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744D2D"/>
  <w15:chartTrackingRefBased/>
  <w15:docId w15:val="{E83E8718-F6E7-6C49-B379-2FD12E1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BHead">
    <w:name w:val="B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CHead">
    <w:name w:val="C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ListParagraph">
    <w:name w:val="List Paragraph"/>
    <w:basedOn w:val="Normal"/>
    <w:uiPriority w:val="34"/>
    <w:qFormat/>
    <w:rsid w:val="00D57CA0"/>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57CA0"/>
    <w:rPr>
      <w:color w:val="0563C1" w:themeColor="hyperlink"/>
      <w:u w:val="single"/>
    </w:rPr>
  </w:style>
  <w:style w:type="paragraph" w:customStyle="1" w:styleId="BTBodyunorderedlistcont">
    <w:name w:val="BT Body unordered list cont"/>
    <w:basedOn w:val="BTBodyText"/>
    <w:qFormat/>
    <w:rsid w:val="00D57CA0"/>
    <w:pPr>
      <w:ind w:left="340"/>
    </w:pPr>
  </w:style>
  <w:style w:type="paragraph" w:customStyle="1" w:styleId="BTBodyunorderedsublist">
    <w:name w:val="BT Body unordered sublist"/>
    <w:basedOn w:val="BTBodyunorderedlistcont"/>
    <w:qFormat/>
    <w:rsid w:val="00D57CA0"/>
    <w:pPr>
      <w:numPr>
        <w:numId w:val="5"/>
      </w:numPr>
    </w:pPr>
  </w:style>
  <w:style w:type="character" w:styleId="CommentReference">
    <w:name w:val="annotation reference"/>
    <w:basedOn w:val="DefaultParagraphFont"/>
    <w:uiPriority w:val="99"/>
    <w:semiHidden/>
    <w:unhideWhenUsed/>
    <w:rsid w:val="00003CB7"/>
    <w:rPr>
      <w:sz w:val="16"/>
      <w:szCs w:val="16"/>
    </w:rPr>
  </w:style>
  <w:style w:type="paragraph" w:styleId="CommentText">
    <w:name w:val="annotation text"/>
    <w:basedOn w:val="Normal"/>
    <w:link w:val="CommentTextChar"/>
    <w:uiPriority w:val="99"/>
    <w:semiHidden/>
    <w:unhideWhenUsed/>
    <w:rsid w:val="00003CB7"/>
    <w:rPr>
      <w:sz w:val="20"/>
      <w:szCs w:val="20"/>
    </w:rPr>
  </w:style>
  <w:style w:type="character" w:customStyle="1" w:styleId="CommentTextChar">
    <w:name w:val="Comment Text Char"/>
    <w:basedOn w:val="DefaultParagraphFont"/>
    <w:link w:val="CommentText"/>
    <w:uiPriority w:val="99"/>
    <w:semiHidden/>
    <w:rsid w:val="00003C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3CB7"/>
    <w:rPr>
      <w:b/>
      <w:bCs/>
    </w:rPr>
  </w:style>
  <w:style w:type="character" w:customStyle="1" w:styleId="CommentSubjectChar">
    <w:name w:val="Comment Subject Char"/>
    <w:basedOn w:val="CommentTextChar"/>
    <w:link w:val="CommentSubject"/>
    <w:uiPriority w:val="99"/>
    <w:semiHidden/>
    <w:rsid w:val="00003CB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03CB7"/>
    <w:rPr>
      <w:sz w:val="18"/>
      <w:szCs w:val="18"/>
    </w:rPr>
  </w:style>
  <w:style w:type="character" w:customStyle="1" w:styleId="BalloonTextChar">
    <w:name w:val="Balloon Text Char"/>
    <w:basedOn w:val="DefaultParagraphFont"/>
    <w:link w:val="BalloonText"/>
    <w:uiPriority w:val="99"/>
    <w:semiHidden/>
    <w:rsid w:val="00003CB7"/>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555412">
      <w:bodyDiv w:val="1"/>
      <w:marLeft w:val="0"/>
      <w:marRight w:val="0"/>
      <w:marTop w:val="0"/>
      <w:marBottom w:val="0"/>
      <w:divBdr>
        <w:top w:val="none" w:sz="0" w:space="0" w:color="auto"/>
        <w:left w:val="none" w:sz="0" w:space="0" w:color="auto"/>
        <w:bottom w:val="none" w:sz="0" w:space="0" w:color="auto"/>
        <w:right w:val="none" w:sz="0" w:space="0" w:color="auto"/>
      </w:divBdr>
    </w:div>
    <w:div w:id="1683627953">
      <w:bodyDiv w:val="1"/>
      <w:marLeft w:val="0"/>
      <w:marRight w:val="0"/>
      <w:marTop w:val="0"/>
      <w:marBottom w:val="0"/>
      <w:divBdr>
        <w:top w:val="none" w:sz="0" w:space="0" w:color="auto"/>
        <w:left w:val="none" w:sz="0" w:space="0" w:color="auto"/>
        <w:bottom w:val="none" w:sz="0" w:space="0" w:color="auto"/>
        <w:right w:val="none" w:sz="0" w:space="0" w:color="auto"/>
      </w:divBdr>
    </w:div>
    <w:div w:id="182264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14808-513F-4067-B874-26311A2E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Eleanor Miles</cp:lastModifiedBy>
  <cp:revision>2</cp:revision>
  <dcterms:created xsi:type="dcterms:W3CDTF">2020-03-02T12:53:00Z</dcterms:created>
  <dcterms:modified xsi:type="dcterms:W3CDTF">2020-03-02T12:53:00Z</dcterms:modified>
</cp:coreProperties>
</file>